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640C2" w14:textId="77777777" w:rsidR="00905F24" w:rsidRDefault="00905F24">
      <w:pPr>
        <w:jc w:val="center"/>
        <w:rPr>
          <w:b/>
          <w:bCs/>
        </w:rPr>
      </w:pPr>
      <w:bookmarkStart w:id="0" w:name="_GoBack"/>
      <w:bookmarkEnd w:id="0"/>
    </w:p>
    <w:p w14:paraId="2F702F2D" w14:textId="47254BE7" w:rsidR="002F0A46" w:rsidRPr="00896580" w:rsidRDefault="002F0A46" w:rsidP="00896580">
      <w:pPr>
        <w:spacing w:before="100" w:beforeAutospacing="1" w:after="100" w:afterAutospacing="1"/>
        <w:jc w:val="center"/>
        <w:rPr>
          <w:b/>
          <w:bCs/>
          <w:caps/>
          <w:sz w:val="23"/>
          <w:szCs w:val="23"/>
        </w:rPr>
      </w:pPr>
      <w:r w:rsidRPr="002F0A46">
        <w:rPr>
          <w:b/>
          <w:bCs/>
          <w:caps/>
          <w:sz w:val="23"/>
          <w:szCs w:val="23"/>
        </w:rPr>
        <w:t>EUREKA HOMESTEAD BANCORP, IN</w:t>
      </w:r>
      <w:r w:rsidR="00896580">
        <w:rPr>
          <w:b/>
          <w:bCs/>
          <w:caps/>
          <w:sz w:val="23"/>
          <w:szCs w:val="23"/>
        </w:rPr>
        <w:t>C.</w:t>
      </w:r>
    </w:p>
    <w:p w14:paraId="7DCE99F3" w14:textId="6F2A2BC9" w:rsidR="002F0A46" w:rsidRPr="002F0A46" w:rsidRDefault="002F0A46" w:rsidP="002F0A46">
      <w:pPr>
        <w:spacing w:before="100" w:beforeAutospacing="1" w:after="100" w:afterAutospacing="1"/>
        <w:jc w:val="center"/>
        <w:rPr>
          <w:b/>
          <w:sz w:val="23"/>
          <w:szCs w:val="23"/>
        </w:rPr>
      </w:pPr>
      <w:r w:rsidRPr="002F0A46">
        <w:rPr>
          <w:b/>
          <w:sz w:val="23"/>
          <w:szCs w:val="23"/>
        </w:rPr>
        <w:t>COMPENSATION COMMITTEE OF THE BOARD OF DIRECTORS</w:t>
      </w:r>
    </w:p>
    <w:p w14:paraId="470842B5" w14:textId="399D7176" w:rsidR="00CB6927" w:rsidRPr="002F0A46" w:rsidRDefault="002F0A46" w:rsidP="00A262E7">
      <w:pPr>
        <w:spacing w:before="100" w:beforeAutospacing="1" w:after="100" w:afterAutospacing="1"/>
        <w:jc w:val="center"/>
        <w:rPr>
          <w:b/>
          <w:bCs/>
          <w:sz w:val="23"/>
          <w:szCs w:val="23"/>
        </w:rPr>
      </w:pPr>
      <w:r w:rsidRPr="002F0A46">
        <w:rPr>
          <w:b/>
          <w:sz w:val="23"/>
          <w:szCs w:val="23"/>
        </w:rPr>
        <w:t>CHARTER</w:t>
      </w:r>
    </w:p>
    <w:p w14:paraId="22F404FA" w14:textId="77777777" w:rsidR="00CB6927" w:rsidRPr="002F0A46" w:rsidRDefault="00CB6927">
      <w:pPr>
        <w:rPr>
          <w:b/>
          <w:bCs/>
          <w:sz w:val="23"/>
          <w:szCs w:val="23"/>
        </w:rPr>
      </w:pPr>
      <w:r w:rsidRPr="002F0A46">
        <w:rPr>
          <w:b/>
          <w:bCs/>
          <w:sz w:val="23"/>
          <w:szCs w:val="23"/>
        </w:rPr>
        <w:t xml:space="preserve">I.  </w:t>
      </w:r>
      <w:r w:rsidRPr="002F0A46">
        <w:rPr>
          <w:b/>
          <w:bCs/>
          <w:sz w:val="23"/>
          <w:szCs w:val="23"/>
        </w:rPr>
        <w:tab/>
        <w:t>Purpose</w:t>
      </w:r>
    </w:p>
    <w:p w14:paraId="066FC1E4" w14:textId="77777777" w:rsidR="00CB6927" w:rsidRPr="002F0A46" w:rsidRDefault="00CB6927">
      <w:pPr>
        <w:rPr>
          <w:sz w:val="23"/>
          <w:szCs w:val="23"/>
        </w:rPr>
      </w:pPr>
    </w:p>
    <w:p w14:paraId="086DFDDB" w14:textId="398F45AA" w:rsidR="00CB6927" w:rsidRPr="002F0A46" w:rsidRDefault="00CB6927">
      <w:pPr>
        <w:ind w:firstLine="720"/>
        <w:rPr>
          <w:sz w:val="23"/>
          <w:szCs w:val="23"/>
        </w:rPr>
      </w:pPr>
      <w:r w:rsidRPr="00896580">
        <w:rPr>
          <w:sz w:val="23"/>
          <w:szCs w:val="23"/>
        </w:rPr>
        <w:t>The</w:t>
      </w:r>
      <w:r w:rsidR="00896580" w:rsidRPr="00896580">
        <w:rPr>
          <w:sz w:val="23"/>
          <w:szCs w:val="23"/>
        </w:rPr>
        <w:t xml:space="preserve"> </w:t>
      </w:r>
      <w:r w:rsidRPr="00896580">
        <w:rPr>
          <w:sz w:val="23"/>
          <w:szCs w:val="23"/>
        </w:rPr>
        <w:t>C</w:t>
      </w:r>
      <w:r w:rsidRPr="00BE19A2">
        <w:rPr>
          <w:sz w:val="23"/>
          <w:szCs w:val="23"/>
        </w:rPr>
        <w:t>ompensation</w:t>
      </w:r>
      <w:r w:rsidRPr="002F0A46">
        <w:rPr>
          <w:sz w:val="23"/>
          <w:szCs w:val="23"/>
        </w:rPr>
        <w:t xml:space="preserve"> Committee (the “Committee”) is appointed by the Board of Directors (the “Board”) of </w:t>
      </w:r>
      <w:r w:rsidR="00B62184" w:rsidRPr="002F0A46">
        <w:rPr>
          <w:sz w:val="23"/>
          <w:szCs w:val="23"/>
        </w:rPr>
        <w:t>Eureka Homestead</w:t>
      </w:r>
      <w:r w:rsidR="00B231A9" w:rsidRPr="002F0A46">
        <w:rPr>
          <w:sz w:val="23"/>
          <w:szCs w:val="23"/>
        </w:rPr>
        <w:t xml:space="preserve"> </w:t>
      </w:r>
      <w:r w:rsidR="000A36C8" w:rsidRPr="002F0A46">
        <w:rPr>
          <w:sz w:val="23"/>
          <w:szCs w:val="23"/>
        </w:rPr>
        <w:t>Bancorp</w:t>
      </w:r>
      <w:r w:rsidRPr="002F0A46">
        <w:rPr>
          <w:sz w:val="23"/>
          <w:szCs w:val="23"/>
        </w:rPr>
        <w:t>, Inc.</w:t>
      </w:r>
      <w:r w:rsidR="002F0A46" w:rsidRPr="002F0A46">
        <w:rPr>
          <w:sz w:val="23"/>
          <w:szCs w:val="23"/>
        </w:rPr>
        <w:t xml:space="preserve"> </w:t>
      </w:r>
      <w:r w:rsidR="00F1496E">
        <w:rPr>
          <w:sz w:val="23"/>
          <w:szCs w:val="23"/>
        </w:rPr>
        <w:t>(</w:t>
      </w:r>
      <w:r w:rsidRPr="002F0A46">
        <w:rPr>
          <w:sz w:val="23"/>
          <w:szCs w:val="23"/>
        </w:rPr>
        <w:t xml:space="preserve">the “Company”) to assist the Board in fulfilling its responsibilities relating to the compensation and benefits provided to the Company’s executive management (for the purposes of this Charter, “executive management” means each individual qualifying as an “officer” of the Company as defined by Rule 16a-1(f) of the SEC Regulations) and Board of Directors.  The Committee is authorized to review, evaluate and recommend various benefit plans and overall compensation for the </w:t>
      </w:r>
      <w:r w:rsidRPr="00F1496E">
        <w:rPr>
          <w:sz w:val="23"/>
          <w:szCs w:val="23"/>
        </w:rPr>
        <w:t>Company and its wholly owned subsidiaries.</w:t>
      </w:r>
    </w:p>
    <w:p w14:paraId="7EB06C9B" w14:textId="77777777" w:rsidR="00CB6927" w:rsidRPr="002F0A46" w:rsidRDefault="00CB6927">
      <w:pPr>
        <w:rPr>
          <w:sz w:val="23"/>
          <w:szCs w:val="23"/>
        </w:rPr>
      </w:pPr>
    </w:p>
    <w:p w14:paraId="51438366" w14:textId="77777777" w:rsidR="00CB6927" w:rsidRPr="00874C4A" w:rsidRDefault="00CB6927">
      <w:pPr>
        <w:rPr>
          <w:b/>
          <w:bCs/>
          <w:sz w:val="23"/>
          <w:szCs w:val="23"/>
        </w:rPr>
      </w:pPr>
      <w:r w:rsidRPr="00874C4A">
        <w:rPr>
          <w:b/>
          <w:bCs/>
          <w:sz w:val="23"/>
          <w:szCs w:val="23"/>
        </w:rPr>
        <w:t xml:space="preserve">II.  </w:t>
      </w:r>
      <w:r w:rsidRPr="00874C4A">
        <w:rPr>
          <w:b/>
          <w:bCs/>
          <w:sz w:val="23"/>
          <w:szCs w:val="23"/>
        </w:rPr>
        <w:tab/>
        <w:t>Committee Membership</w:t>
      </w:r>
    </w:p>
    <w:p w14:paraId="2614BB18" w14:textId="77777777" w:rsidR="00CB6927" w:rsidRPr="00874C4A" w:rsidRDefault="00CB6927">
      <w:pPr>
        <w:rPr>
          <w:sz w:val="23"/>
          <w:szCs w:val="23"/>
        </w:rPr>
      </w:pPr>
    </w:p>
    <w:p w14:paraId="045A55CC" w14:textId="27557E30" w:rsidR="00CB6927" w:rsidRPr="002F0A46" w:rsidRDefault="00CB6927">
      <w:pPr>
        <w:ind w:firstLine="720"/>
        <w:rPr>
          <w:sz w:val="23"/>
          <w:szCs w:val="23"/>
        </w:rPr>
      </w:pPr>
      <w:r w:rsidRPr="00874C4A">
        <w:rPr>
          <w:sz w:val="23"/>
          <w:szCs w:val="23"/>
        </w:rPr>
        <w:t>The Committee shall be comp</w:t>
      </w:r>
      <w:r w:rsidR="004D1888" w:rsidRPr="00874C4A">
        <w:rPr>
          <w:sz w:val="23"/>
          <w:szCs w:val="23"/>
        </w:rPr>
        <w:t>rised</w:t>
      </w:r>
      <w:r w:rsidRPr="00874C4A">
        <w:rPr>
          <w:sz w:val="23"/>
          <w:szCs w:val="23"/>
        </w:rPr>
        <w:t xml:space="preserve"> of a minimum o</w:t>
      </w:r>
      <w:r w:rsidR="00896580" w:rsidRPr="00874C4A">
        <w:rPr>
          <w:sz w:val="23"/>
          <w:szCs w:val="23"/>
        </w:rPr>
        <w:t xml:space="preserve">f </w:t>
      </w:r>
      <w:r w:rsidR="00F1496E" w:rsidRPr="00874C4A">
        <w:rPr>
          <w:sz w:val="23"/>
          <w:szCs w:val="23"/>
        </w:rPr>
        <w:t>three</w:t>
      </w:r>
      <w:r w:rsidR="00F1496E" w:rsidRPr="00874C4A">
        <w:rPr>
          <w:b/>
          <w:sz w:val="23"/>
          <w:szCs w:val="23"/>
        </w:rPr>
        <w:t xml:space="preserve"> </w:t>
      </w:r>
      <w:r w:rsidRPr="00874C4A">
        <w:rPr>
          <w:sz w:val="23"/>
          <w:szCs w:val="23"/>
        </w:rPr>
        <w:t>directors, each of whom shall satisfy the applicable Nasdaq Stock Market listing standards for independence</w:t>
      </w:r>
      <w:r w:rsidR="00813991" w:rsidRPr="00FC7AEF">
        <w:rPr>
          <w:sz w:val="23"/>
          <w:szCs w:val="23"/>
        </w:rPr>
        <w:t xml:space="preserve"> with respect to compensation committee membership</w:t>
      </w:r>
      <w:r w:rsidR="00E853F4" w:rsidRPr="00FC7AEF">
        <w:rPr>
          <w:sz w:val="23"/>
          <w:szCs w:val="23"/>
        </w:rPr>
        <w:t xml:space="preserve"> or such other independence standards as established by the Board of Directors</w:t>
      </w:r>
      <w:r w:rsidRPr="00FC7AEF">
        <w:rPr>
          <w:sz w:val="23"/>
          <w:szCs w:val="23"/>
        </w:rPr>
        <w:t xml:space="preserve">.  </w:t>
      </w:r>
      <w:r w:rsidR="007A2B1A" w:rsidRPr="00FC7AEF">
        <w:rPr>
          <w:rFonts w:eastAsia="Calibri"/>
          <w:color w:val="000000"/>
          <w:sz w:val="23"/>
          <w:szCs w:val="23"/>
        </w:rPr>
        <w:t>Except as permitted under Nasdaq,</w:t>
      </w:r>
      <w:r w:rsidR="007A2B1A" w:rsidRPr="002F0A46">
        <w:rPr>
          <w:rFonts w:eastAsia="Calibri"/>
          <w:color w:val="000000"/>
          <w:sz w:val="23"/>
          <w:szCs w:val="23"/>
        </w:rPr>
        <w:t xml:space="preserve"> no member of the Committee is permitted to accept directly or indirectly any consulting, advisory or other compensatory fee from the Company or any subsidiary thereof.  Compensatory fees shall not include: (</w:t>
      </w:r>
      <w:proofErr w:type="spellStart"/>
      <w:r w:rsidR="007A2B1A" w:rsidRPr="002F0A46">
        <w:rPr>
          <w:rFonts w:eastAsia="Calibri"/>
          <w:color w:val="000000"/>
          <w:sz w:val="23"/>
          <w:szCs w:val="23"/>
        </w:rPr>
        <w:t>i</w:t>
      </w:r>
      <w:proofErr w:type="spellEnd"/>
      <w:r w:rsidR="007A2B1A" w:rsidRPr="002F0A46">
        <w:rPr>
          <w:rFonts w:eastAsia="Calibri"/>
          <w:color w:val="000000"/>
          <w:sz w:val="23"/>
          <w:szCs w:val="23"/>
        </w:rPr>
        <w:t xml:space="preserve">) fees received as a member of the Committee, the Board or any other Board committee; or (ii) a receipt of fixed amounts of compensation under a retirement plan for prior service with the Company, provided that such compensation is not contingent in any way on continued service.  </w:t>
      </w:r>
      <w:r w:rsidRPr="002F0A46">
        <w:rPr>
          <w:sz w:val="23"/>
          <w:szCs w:val="23"/>
        </w:rPr>
        <w:t>The Board shall appoint a new member or members in the event that there is a vacancy on the Committee that reduces the number of members below three, or in the event that the Board determines that the number of members on the Committee should be increased.</w:t>
      </w:r>
    </w:p>
    <w:p w14:paraId="189A30EE" w14:textId="77777777" w:rsidR="00CB6927" w:rsidRPr="002F0A46" w:rsidRDefault="00CB6927">
      <w:pPr>
        <w:rPr>
          <w:sz w:val="23"/>
          <w:szCs w:val="23"/>
        </w:rPr>
      </w:pPr>
    </w:p>
    <w:p w14:paraId="6E53C851" w14:textId="77777777" w:rsidR="00CB6927" w:rsidRPr="002F0A46" w:rsidRDefault="00CB6927">
      <w:pPr>
        <w:ind w:firstLine="720"/>
        <w:rPr>
          <w:sz w:val="23"/>
          <w:szCs w:val="23"/>
        </w:rPr>
      </w:pPr>
      <w:r w:rsidRPr="002F0A46">
        <w:rPr>
          <w:sz w:val="23"/>
          <w:szCs w:val="23"/>
        </w:rPr>
        <w:t>The members of the Committee shall be appointed by the Board and shall serve until their successors are duly appointed and qualified. Unless a Chair is appointed by the full Board, the members of the Committee shall designate a Chair by majority vote of the full Committee membership.</w:t>
      </w:r>
    </w:p>
    <w:p w14:paraId="1F38AB90" w14:textId="77777777" w:rsidR="00CB6927" w:rsidRPr="002F0A46" w:rsidRDefault="00CB6927">
      <w:pPr>
        <w:rPr>
          <w:sz w:val="23"/>
          <w:szCs w:val="23"/>
        </w:rPr>
      </w:pPr>
    </w:p>
    <w:p w14:paraId="5C1A6896" w14:textId="77777777" w:rsidR="00CB6927" w:rsidRPr="002F0A46" w:rsidRDefault="00CB6927">
      <w:pPr>
        <w:ind w:firstLine="720"/>
        <w:rPr>
          <w:sz w:val="23"/>
          <w:szCs w:val="23"/>
        </w:rPr>
      </w:pPr>
      <w:r w:rsidRPr="002F0A46">
        <w:rPr>
          <w:sz w:val="23"/>
          <w:szCs w:val="23"/>
        </w:rPr>
        <w:t>The entire Committee or any individual Committee member may be removed without cause by the affirmative vote of a majority of the Board of Directors.  Any Committee member may resign effective upon giving written notice to the Chairman of the Board, the Corporate Secretary or the Board of Directors.  The Board shall appoint a successor to take office when a resignation becomes effective.</w:t>
      </w:r>
    </w:p>
    <w:p w14:paraId="7C2B21F3" w14:textId="77777777" w:rsidR="00CB6927" w:rsidRPr="002F0A46" w:rsidRDefault="00CB6927">
      <w:pPr>
        <w:rPr>
          <w:sz w:val="23"/>
          <w:szCs w:val="23"/>
        </w:rPr>
      </w:pPr>
    </w:p>
    <w:p w14:paraId="1DC250DB" w14:textId="77777777" w:rsidR="00CB6927" w:rsidRPr="002F0A46" w:rsidRDefault="00CB6927">
      <w:pPr>
        <w:rPr>
          <w:b/>
          <w:bCs/>
          <w:sz w:val="23"/>
          <w:szCs w:val="23"/>
        </w:rPr>
      </w:pPr>
      <w:r w:rsidRPr="002F0A46">
        <w:rPr>
          <w:b/>
          <w:bCs/>
          <w:sz w:val="23"/>
          <w:szCs w:val="23"/>
        </w:rPr>
        <w:t xml:space="preserve">III.  </w:t>
      </w:r>
      <w:r w:rsidRPr="002F0A46">
        <w:rPr>
          <w:b/>
          <w:bCs/>
          <w:sz w:val="23"/>
          <w:szCs w:val="23"/>
        </w:rPr>
        <w:tab/>
        <w:t>Meetings</w:t>
      </w:r>
    </w:p>
    <w:p w14:paraId="42A4927D" w14:textId="77777777" w:rsidR="00CB6927" w:rsidRPr="002F0A46" w:rsidRDefault="00CB6927">
      <w:pPr>
        <w:rPr>
          <w:sz w:val="23"/>
          <w:szCs w:val="23"/>
        </w:rPr>
      </w:pPr>
    </w:p>
    <w:p w14:paraId="3E949057" w14:textId="77777777" w:rsidR="00CB6927" w:rsidRDefault="00CB6927">
      <w:pPr>
        <w:ind w:firstLine="720"/>
        <w:rPr>
          <w:sz w:val="23"/>
          <w:szCs w:val="23"/>
        </w:rPr>
      </w:pPr>
      <w:r w:rsidRPr="002F0A46">
        <w:rPr>
          <w:sz w:val="23"/>
          <w:szCs w:val="23"/>
        </w:rPr>
        <w:t>The Committee shall meet at least annually, and may hold additional meetings as needed or appropriate.  The Committee may ask members of management or others, including legal counsel, to attend meetings or to provide relevant information.  A majority of the entire Committee membership shall constitute a quorum, and all actions taken by the Committee shall require the affirmative vote of a majority of the membership of the Committee.</w:t>
      </w:r>
    </w:p>
    <w:p w14:paraId="647225A8" w14:textId="77777777" w:rsidR="002F0A46" w:rsidRPr="002F0A46" w:rsidRDefault="002F0A46">
      <w:pPr>
        <w:ind w:firstLine="720"/>
        <w:rPr>
          <w:sz w:val="23"/>
          <w:szCs w:val="23"/>
        </w:rPr>
      </w:pPr>
    </w:p>
    <w:p w14:paraId="0A1B85E3" w14:textId="77777777" w:rsidR="00CB6927" w:rsidRPr="002F0A46" w:rsidRDefault="00CB6927">
      <w:pPr>
        <w:rPr>
          <w:sz w:val="23"/>
          <w:szCs w:val="23"/>
        </w:rPr>
      </w:pPr>
    </w:p>
    <w:p w14:paraId="5CEBFF80" w14:textId="77777777" w:rsidR="00905F24" w:rsidRPr="002F0A46" w:rsidRDefault="00905F24">
      <w:pPr>
        <w:keepNext/>
        <w:keepLines/>
        <w:rPr>
          <w:b/>
          <w:bCs/>
          <w:sz w:val="23"/>
          <w:szCs w:val="23"/>
        </w:rPr>
      </w:pPr>
    </w:p>
    <w:p w14:paraId="64B5A784" w14:textId="77777777" w:rsidR="002F0A46" w:rsidRDefault="002F0A46">
      <w:pPr>
        <w:keepNext/>
        <w:keepLines/>
        <w:rPr>
          <w:b/>
          <w:bCs/>
          <w:sz w:val="23"/>
          <w:szCs w:val="23"/>
        </w:rPr>
      </w:pPr>
    </w:p>
    <w:p w14:paraId="27E860E0" w14:textId="77777777" w:rsidR="00CB6927" w:rsidRPr="002F0A46" w:rsidRDefault="00CB6927">
      <w:pPr>
        <w:keepNext/>
        <w:keepLines/>
        <w:rPr>
          <w:b/>
          <w:bCs/>
          <w:sz w:val="23"/>
          <w:szCs w:val="23"/>
        </w:rPr>
      </w:pPr>
      <w:r w:rsidRPr="002F0A46">
        <w:rPr>
          <w:b/>
          <w:bCs/>
          <w:sz w:val="23"/>
          <w:szCs w:val="23"/>
        </w:rPr>
        <w:t xml:space="preserve">IV.  </w:t>
      </w:r>
      <w:r w:rsidRPr="002F0A46">
        <w:rPr>
          <w:b/>
          <w:bCs/>
          <w:sz w:val="23"/>
          <w:szCs w:val="23"/>
        </w:rPr>
        <w:tab/>
        <w:t>Authority and Responsibilities</w:t>
      </w:r>
    </w:p>
    <w:p w14:paraId="18D936C3" w14:textId="77777777" w:rsidR="00CB6927" w:rsidRPr="002F0A46" w:rsidRDefault="00CB6927">
      <w:pPr>
        <w:keepNext/>
        <w:keepLines/>
        <w:rPr>
          <w:sz w:val="23"/>
          <w:szCs w:val="23"/>
        </w:rPr>
      </w:pPr>
    </w:p>
    <w:p w14:paraId="601691F5" w14:textId="77777777" w:rsidR="00CB6927" w:rsidRPr="002F0A46" w:rsidRDefault="00CB6927">
      <w:pPr>
        <w:keepNext/>
        <w:keepLines/>
        <w:ind w:firstLine="720"/>
        <w:rPr>
          <w:sz w:val="23"/>
          <w:szCs w:val="23"/>
        </w:rPr>
      </w:pPr>
      <w:r w:rsidRPr="002F0A46">
        <w:rPr>
          <w:sz w:val="23"/>
          <w:szCs w:val="23"/>
        </w:rPr>
        <w:t>The specific authority and responsibilities of the Committee shall include, but are not limited to, the following:</w:t>
      </w:r>
    </w:p>
    <w:p w14:paraId="5CEA49E8" w14:textId="77777777" w:rsidR="00CB6927" w:rsidRPr="002F0A46" w:rsidRDefault="00CB6927">
      <w:pPr>
        <w:keepNext/>
        <w:keepLines/>
        <w:ind w:left="720"/>
        <w:rPr>
          <w:sz w:val="23"/>
          <w:szCs w:val="23"/>
        </w:rPr>
      </w:pPr>
    </w:p>
    <w:p w14:paraId="23222452" w14:textId="77777777" w:rsidR="00CB6927" w:rsidRPr="00C917BF" w:rsidRDefault="00CB6927">
      <w:pPr>
        <w:keepNext/>
        <w:keepLines/>
        <w:numPr>
          <w:ilvl w:val="1"/>
          <w:numId w:val="5"/>
        </w:numPr>
        <w:tabs>
          <w:tab w:val="clear" w:pos="1800"/>
        </w:tabs>
        <w:ind w:left="1440" w:hanging="720"/>
        <w:rPr>
          <w:sz w:val="23"/>
          <w:szCs w:val="23"/>
        </w:rPr>
      </w:pPr>
      <w:r w:rsidRPr="00C917BF">
        <w:rPr>
          <w:sz w:val="23"/>
          <w:szCs w:val="23"/>
        </w:rPr>
        <w:t xml:space="preserve">Establish, review, modify </w:t>
      </w:r>
      <w:r w:rsidR="00813ECC" w:rsidRPr="00C917BF">
        <w:rPr>
          <w:sz w:val="23"/>
          <w:szCs w:val="23"/>
        </w:rPr>
        <w:t xml:space="preserve">and recommend to the full board, </w:t>
      </w:r>
      <w:r w:rsidRPr="00C917BF">
        <w:rPr>
          <w:sz w:val="23"/>
          <w:szCs w:val="23"/>
        </w:rPr>
        <w:t>from time to time as appropriate</w:t>
      </w:r>
      <w:r w:rsidR="00813ECC" w:rsidRPr="00C917BF">
        <w:rPr>
          <w:sz w:val="23"/>
          <w:szCs w:val="23"/>
        </w:rPr>
        <w:t>,</w:t>
      </w:r>
      <w:r w:rsidRPr="00C917BF">
        <w:rPr>
          <w:sz w:val="23"/>
          <w:szCs w:val="23"/>
        </w:rPr>
        <w:t xml:space="preserve"> the overall compensation philosophy of the Company.</w:t>
      </w:r>
    </w:p>
    <w:p w14:paraId="6FD82BDD" w14:textId="77777777" w:rsidR="00CB6927" w:rsidRPr="002F0A46" w:rsidRDefault="00CB6927">
      <w:pPr>
        <w:keepNext/>
        <w:keepLines/>
        <w:ind w:left="1440" w:hanging="720"/>
        <w:rPr>
          <w:sz w:val="23"/>
          <w:szCs w:val="23"/>
        </w:rPr>
      </w:pPr>
    </w:p>
    <w:p w14:paraId="5317A177" w14:textId="77777777" w:rsidR="00CB6927" w:rsidRPr="00640033" w:rsidRDefault="00CB6927">
      <w:pPr>
        <w:keepNext/>
        <w:keepLines/>
        <w:numPr>
          <w:ilvl w:val="1"/>
          <w:numId w:val="5"/>
        </w:numPr>
        <w:tabs>
          <w:tab w:val="clear" w:pos="1800"/>
        </w:tabs>
        <w:ind w:left="1440" w:hanging="720"/>
        <w:rPr>
          <w:sz w:val="23"/>
          <w:szCs w:val="23"/>
        </w:rPr>
      </w:pPr>
      <w:r w:rsidRPr="00640033">
        <w:rPr>
          <w:sz w:val="23"/>
          <w:szCs w:val="23"/>
        </w:rPr>
        <w:t xml:space="preserve">Review, evaluate and recommend Company objectives relevant to the </w:t>
      </w:r>
      <w:r w:rsidR="0034198B" w:rsidRPr="00640033">
        <w:rPr>
          <w:sz w:val="23"/>
          <w:szCs w:val="23"/>
        </w:rPr>
        <w:t xml:space="preserve">compensation of the </w:t>
      </w:r>
      <w:r w:rsidRPr="00640033">
        <w:rPr>
          <w:sz w:val="23"/>
          <w:szCs w:val="23"/>
        </w:rPr>
        <w:t xml:space="preserve">Chief Executive Officer (“CEO”); evaluate CEO performance relative to established goals; and review, evaluate and recommend to the full Board of Directors CEO compensation.  </w:t>
      </w:r>
      <w:r w:rsidR="007A2B1A" w:rsidRPr="00640033">
        <w:rPr>
          <w:rFonts w:eastAsia="Calibri"/>
          <w:color w:val="000000"/>
          <w:sz w:val="23"/>
          <w:szCs w:val="23"/>
        </w:rPr>
        <w:t>The CEO may not be present during voting or deliberations on his compensation.</w:t>
      </w:r>
      <w:r w:rsidRPr="00640033">
        <w:rPr>
          <w:sz w:val="23"/>
          <w:szCs w:val="23"/>
        </w:rPr>
        <w:t xml:space="preserve">  </w:t>
      </w:r>
    </w:p>
    <w:p w14:paraId="4C9A2686" w14:textId="77777777" w:rsidR="00CB6927" w:rsidRPr="00640033" w:rsidRDefault="00CB6927">
      <w:pPr>
        <w:keepLines/>
        <w:ind w:left="1440" w:hanging="720"/>
        <w:rPr>
          <w:sz w:val="23"/>
          <w:szCs w:val="23"/>
        </w:rPr>
      </w:pPr>
    </w:p>
    <w:p w14:paraId="50C4C9C8" w14:textId="77777777" w:rsidR="00CB6927" w:rsidRPr="00640033" w:rsidRDefault="00CB6927">
      <w:pPr>
        <w:keepLines/>
        <w:numPr>
          <w:ilvl w:val="1"/>
          <w:numId w:val="5"/>
        </w:numPr>
        <w:tabs>
          <w:tab w:val="clear" w:pos="1800"/>
        </w:tabs>
        <w:ind w:left="1440" w:hanging="720"/>
        <w:rPr>
          <w:sz w:val="23"/>
          <w:szCs w:val="23"/>
        </w:rPr>
      </w:pPr>
      <w:r w:rsidRPr="00640033">
        <w:rPr>
          <w:sz w:val="23"/>
          <w:szCs w:val="23"/>
        </w:rPr>
        <w:t xml:space="preserve">Review, evaluate and recommend goals relevant to the compensation of the Company’s other executive management with the input of the CEO; and review such officers’ performance in light of these goals and determine (or recommend to the full Board of Directors for determination) such officers’ compensation based on this evaluation.  </w:t>
      </w:r>
    </w:p>
    <w:p w14:paraId="287DD519" w14:textId="77777777" w:rsidR="00CB6927" w:rsidRPr="002F0A46" w:rsidRDefault="00CB6927">
      <w:pPr>
        <w:ind w:left="1440" w:hanging="720"/>
        <w:rPr>
          <w:sz w:val="23"/>
          <w:szCs w:val="23"/>
        </w:rPr>
      </w:pPr>
    </w:p>
    <w:p w14:paraId="7E64F8F2" w14:textId="77777777" w:rsidR="00CB6927" w:rsidRPr="002F0A46" w:rsidRDefault="00CB6927">
      <w:pPr>
        <w:numPr>
          <w:ilvl w:val="1"/>
          <w:numId w:val="5"/>
        </w:numPr>
        <w:tabs>
          <w:tab w:val="clear" w:pos="1800"/>
        </w:tabs>
        <w:ind w:left="1440" w:hanging="720"/>
        <w:rPr>
          <w:sz w:val="23"/>
          <w:szCs w:val="23"/>
        </w:rPr>
      </w:pPr>
      <w:r w:rsidRPr="002F0A46">
        <w:rPr>
          <w:sz w:val="23"/>
          <w:szCs w:val="23"/>
        </w:rPr>
        <w:t>Review, evaluate and recommend succession planning and management development for executive officers, including the CEO.</w:t>
      </w:r>
    </w:p>
    <w:p w14:paraId="02AF4617" w14:textId="77777777" w:rsidR="00CB6927" w:rsidRPr="002F0A46" w:rsidRDefault="00CB6927">
      <w:pPr>
        <w:ind w:left="1440" w:hanging="720"/>
        <w:rPr>
          <w:sz w:val="23"/>
          <w:szCs w:val="23"/>
        </w:rPr>
      </w:pPr>
    </w:p>
    <w:p w14:paraId="1920A2AB" w14:textId="44120D7A" w:rsidR="00CB6927" w:rsidRPr="00F1496E" w:rsidRDefault="00CB6927">
      <w:pPr>
        <w:numPr>
          <w:ilvl w:val="1"/>
          <w:numId w:val="5"/>
        </w:numPr>
        <w:tabs>
          <w:tab w:val="clear" w:pos="1800"/>
        </w:tabs>
        <w:ind w:left="1440" w:hanging="720"/>
        <w:rPr>
          <w:sz w:val="23"/>
          <w:szCs w:val="23"/>
        </w:rPr>
      </w:pPr>
      <w:r w:rsidRPr="002F0A46">
        <w:rPr>
          <w:sz w:val="23"/>
          <w:szCs w:val="23"/>
        </w:rPr>
        <w:t xml:space="preserve">Review, evaluate and determine the compensation to be paid to directors of the </w:t>
      </w:r>
      <w:r w:rsidRPr="00F1496E">
        <w:rPr>
          <w:sz w:val="23"/>
          <w:szCs w:val="23"/>
        </w:rPr>
        <w:t>Company and of affiliates of the Company for their service on the Board.</w:t>
      </w:r>
    </w:p>
    <w:p w14:paraId="140D4A73" w14:textId="77777777" w:rsidR="00CB6927" w:rsidRPr="002F0A46" w:rsidRDefault="00CB6927">
      <w:pPr>
        <w:ind w:left="1440" w:hanging="720"/>
        <w:rPr>
          <w:sz w:val="23"/>
          <w:szCs w:val="23"/>
        </w:rPr>
      </w:pPr>
    </w:p>
    <w:p w14:paraId="5CEDDD77" w14:textId="77777777" w:rsidR="00CB6927" w:rsidRPr="002F0A46" w:rsidRDefault="00CB6927">
      <w:pPr>
        <w:numPr>
          <w:ilvl w:val="1"/>
          <w:numId w:val="5"/>
        </w:numPr>
        <w:tabs>
          <w:tab w:val="clear" w:pos="1800"/>
        </w:tabs>
        <w:ind w:left="1440" w:hanging="720"/>
        <w:rPr>
          <w:sz w:val="23"/>
          <w:szCs w:val="23"/>
        </w:rPr>
      </w:pPr>
      <w:r w:rsidRPr="002F0A46">
        <w:rPr>
          <w:sz w:val="23"/>
          <w:szCs w:val="23"/>
        </w:rPr>
        <w:t xml:space="preserve">Review, evaluate and recommend to the full Board, the terms of employment and severance agreements/arrangements for executive officers, including any change of control and indemnification provisions, as well as other compensatory arrangements for executive management. </w:t>
      </w:r>
    </w:p>
    <w:p w14:paraId="2C560735" w14:textId="77777777" w:rsidR="00CB6927" w:rsidRPr="002F0A46" w:rsidRDefault="00CB6927">
      <w:pPr>
        <w:ind w:left="1440" w:hanging="720"/>
        <w:rPr>
          <w:sz w:val="23"/>
          <w:szCs w:val="23"/>
        </w:rPr>
      </w:pPr>
    </w:p>
    <w:p w14:paraId="7B5F4215" w14:textId="77777777" w:rsidR="00CB6927" w:rsidRPr="002F0A46" w:rsidRDefault="00644DB3">
      <w:pPr>
        <w:numPr>
          <w:ilvl w:val="1"/>
          <w:numId w:val="5"/>
        </w:numPr>
        <w:tabs>
          <w:tab w:val="clear" w:pos="1800"/>
        </w:tabs>
        <w:ind w:left="1440" w:hanging="720"/>
        <w:rPr>
          <w:sz w:val="23"/>
          <w:szCs w:val="23"/>
        </w:rPr>
      </w:pPr>
      <w:r w:rsidRPr="002F0A46">
        <w:rPr>
          <w:sz w:val="23"/>
          <w:szCs w:val="23"/>
        </w:rPr>
        <w:t>Oversee</w:t>
      </w:r>
      <w:r w:rsidR="00D31109" w:rsidRPr="002F0A46">
        <w:rPr>
          <w:sz w:val="23"/>
          <w:szCs w:val="23"/>
        </w:rPr>
        <w:t>, and as directed by the Board, administer</w:t>
      </w:r>
      <w:r w:rsidRPr="002F0A46">
        <w:rPr>
          <w:sz w:val="23"/>
          <w:szCs w:val="23"/>
        </w:rPr>
        <w:t xml:space="preserve"> </w:t>
      </w:r>
      <w:r w:rsidR="00CB6927" w:rsidRPr="002F0A46">
        <w:rPr>
          <w:sz w:val="23"/>
          <w:szCs w:val="23"/>
        </w:rPr>
        <w:t>any stock benefit plans adopted by the Company.</w:t>
      </w:r>
      <w:r w:rsidRPr="002F0A46">
        <w:rPr>
          <w:sz w:val="23"/>
          <w:szCs w:val="23"/>
        </w:rPr>
        <w:t xml:space="preserve">  Review, evaluate and make recommendations to “non-employee directors</w:t>
      </w:r>
      <w:r w:rsidR="0017429A" w:rsidRPr="002F0A46">
        <w:rPr>
          <w:sz w:val="23"/>
          <w:szCs w:val="23"/>
        </w:rPr>
        <w:t>,</w:t>
      </w:r>
      <w:r w:rsidRPr="002F0A46">
        <w:rPr>
          <w:sz w:val="23"/>
          <w:szCs w:val="23"/>
        </w:rPr>
        <w:t>”</w:t>
      </w:r>
      <w:r w:rsidR="0017429A" w:rsidRPr="002F0A46">
        <w:rPr>
          <w:sz w:val="23"/>
          <w:szCs w:val="23"/>
        </w:rPr>
        <w:t xml:space="preserve"> </w:t>
      </w:r>
      <w:r w:rsidRPr="002F0A46">
        <w:rPr>
          <w:sz w:val="23"/>
          <w:szCs w:val="23"/>
        </w:rPr>
        <w:t xml:space="preserve">as such term is defined by Rule 16b-3 of the Securities Exchange Act of 1934, </w:t>
      </w:r>
      <w:r w:rsidR="0017429A" w:rsidRPr="002F0A46">
        <w:rPr>
          <w:sz w:val="23"/>
          <w:szCs w:val="23"/>
        </w:rPr>
        <w:t xml:space="preserve">of the Board </w:t>
      </w:r>
      <w:r w:rsidRPr="002F0A46">
        <w:rPr>
          <w:sz w:val="23"/>
          <w:szCs w:val="23"/>
        </w:rPr>
        <w:t xml:space="preserve">regarding </w:t>
      </w:r>
      <w:r w:rsidR="007E3696" w:rsidRPr="002F0A46">
        <w:rPr>
          <w:sz w:val="23"/>
          <w:szCs w:val="23"/>
        </w:rPr>
        <w:t xml:space="preserve">the administration of </w:t>
      </w:r>
      <w:r w:rsidRPr="002F0A46">
        <w:rPr>
          <w:sz w:val="23"/>
          <w:szCs w:val="23"/>
        </w:rPr>
        <w:t>such awards.</w:t>
      </w:r>
    </w:p>
    <w:p w14:paraId="10772AED" w14:textId="77777777" w:rsidR="00CB6927" w:rsidRPr="002F0A46" w:rsidRDefault="00CB6927">
      <w:pPr>
        <w:ind w:left="1440" w:hanging="720"/>
        <w:rPr>
          <w:sz w:val="23"/>
          <w:szCs w:val="23"/>
        </w:rPr>
      </w:pPr>
    </w:p>
    <w:p w14:paraId="46B66CFC" w14:textId="77777777" w:rsidR="00CB6927" w:rsidRPr="002F0A46" w:rsidRDefault="00CB6927">
      <w:pPr>
        <w:numPr>
          <w:ilvl w:val="1"/>
          <w:numId w:val="5"/>
        </w:numPr>
        <w:tabs>
          <w:tab w:val="clear" w:pos="1800"/>
        </w:tabs>
        <w:ind w:left="1440" w:hanging="720"/>
        <w:rPr>
          <w:sz w:val="23"/>
          <w:szCs w:val="23"/>
        </w:rPr>
      </w:pPr>
      <w:r w:rsidRPr="002F0A46">
        <w:rPr>
          <w:sz w:val="23"/>
          <w:szCs w:val="23"/>
        </w:rPr>
        <w:t>To the extent required, prepare and publish an annual executive compensation report in the Company’s proxy statement.</w:t>
      </w:r>
    </w:p>
    <w:p w14:paraId="5F7FE3CD" w14:textId="77777777" w:rsidR="00CB6927" w:rsidRPr="002F0A46" w:rsidRDefault="00CB6927">
      <w:pPr>
        <w:ind w:left="1440" w:hanging="720"/>
        <w:rPr>
          <w:sz w:val="23"/>
          <w:szCs w:val="23"/>
        </w:rPr>
      </w:pPr>
    </w:p>
    <w:p w14:paraId="48530AA9" w14:textId="77777777" w:rsidR="00384692" w:rsidRPr="002F0A46" w:rsidRDefault="00CB6927">
      <w:pPr>
        <w:numPr>
          <w:ilvl w:val="1"/>
          <w:numId w:val="5"/>
        </w:numPr>
        <w:tabs>
          <w:tab w:val="clear" w:pos="1800"/>
        </w:tabs>
        <w:ind w:left="1440" w:hanging="720"/>
        <w:rPr>
          <w:sz w:val="23"/>
          <w:szCs w:val="23"/>
        </w:rPr>
      </w:pPr>
      <w:r w:rsidRPr="002F0A46">
        <w:rPr>
          <w:sz w:val="23"/>
          <w:szCs w:val="23"/>
        </w:rPr>
        <w:t xml:space="preserve">Retain any compensation and benefits consultant or legal counsel used to assist the Committee in fulfilling its responsibilities, provided </w:t>
      </w:r>
      <w:r w:rsidRPr="00FC7AEF">
        <w:rPr>
          <w:sz w:val="23"/>
          <w:szCs w:val="23"/>
        </w:rPr>
        <w:t>that</w:t>
      </w:r>
      <w:r w:rsidR="007A2B1A" w:rsidRPr="00FC7AEF">
        <w:rPr>
          <w:color w:val="000000"/>
          <w:sz w:val="23"/>
          <w:szCs w:val="23"/>
        </w:rPr>
        <w:t>, except as otherwise required under the Nasdaq rules,</w:t>
      </w:r>
      <w:r w:rsidRPr="00FC7AEF">
        <w:rPr>
          <w:sz w:val="23"/>
          <w:szCs w:val="23"/>
        </w:rPr>
        <w:t xml:space="preserve"> the concurrence of the full Boa</w:t>
      </w:r>
      <w:r w:rsidRPr="002F0A46">
        <w:rPr>
          <w:sz w:val="23"/>
          <w:szCs w:val="23"/>
        </w:rPr>
        <w:t>rd shall be obtained for expenditures exceeding $25,000 in any year.</w:t>
      </w:r>
    </w:p>
    <w:p w14:paraId="34CCD168" w14:textId="77777777" w:rsidR="00CB6927" w:rsidRPr="002F0A46" w:rsidRDefault="00CB6927">
      <w:pPr>
        <w:ind w:left="1440" w:hanging="720"/>
        <w:rPr>
          <w:sz w:val="23"/>
          <w:szCs w:val="23"/>
        </w:rPr>
      </w:pPr>
    </w:p>
    <w:p w14:paraId="308A5EB8" w14:textId="77777777" w:rsidR="00CB6927" w:rsidRPr="002F0A46" w:rsidRDefault="00CB6927">
      <w:pPr>
        <w:numPr>
          <w:ilvl w:val="1"/>
          <w:numId w:val="5"/>
        </w:numPr>
        <w:tabs>
          <w:tab w:val="clear" w:pos="1800"/>
        </w:tabs>
        <w:ind w:left="1440" w:hanging="720"/>
        <w:rPr>
          <w:sz w:val="23"/>
          <w:szCs w:val="23"/>
        </w:rPr>
      </w:pPr>
      <w:r w:rsidRPr="002F0A46">
        <w:rPr>
          <w:sz w:val="23"/>
          <w:szCs w:val="23"/>
        </w:rPr>
        <w:t>Report to the full Board of Directors any actions taken for ratification by the Board, as necessary.</w:t>
      </w:r>
    </w:p>
    <w:p w14:paraId="47608DD0" w14:textId="77777777" w:rsidR="00CB6927" w:rsidRPr="00F1496E" w:rsidRDefault="00CB6927">
      <w:pPr>
        <w:ind w:left="1440" w:hanging="720"/>
        <w:rPr>
          <w:strike/>
          <w:sz w:val="23"/>
          <w:szCs w:val="23"/>
        </w:rPr>
      </w:pPr>
    </w:p>
    <w:p w14:paraId="5E2D3DA7" w14:textId="4F547F0D" w:rsidR="00CB6927" w:rsidRPr="001C1869" w:rsidRDefault="00CB6927">
      <w:pPr>
        <w:numPr>
          <w:ilvl w:val="1"/>
          <w:numId w:val="5"/>
        </w:numPr>
        <w:tabs>
          <w:tab w:val="clear" w:pos="1800"/>
        </w:tabs>
        <w:ind w:left="1440" w:hanging="720"/>
        <w:rPr>
          <w:sz w:val="23"/>
          <w:szCs w:val="23"/>
        </w:rPr>
      </w:pPr>
      <w:r w:rsidRPr="001C1869">
        <w:rPr>
          <w:sz w:val="23"/>
          <w:szCs w:val="23"/>
        </w:rPr>
        <w:t xml:space="preserve">Annually review this Charter and recommend </w:t>
      </w:r>
      <w:r w:rsidR="00874C4A" w:rsidRPr="001C1869">
        <w:rPr>
          <w:sz w:val="23"/>
          <w:szCs w:val="23"/>
        </w:rPr>
        <w:t xml:space="preserve">to the Board </w:t>
      </w:r>
      <w:r w:rsidRPr="001C1869">
        <w:rPr>
          <w:sz w:val="23"/>
          <w:szCs w:val="23"/>
        </w:rPr>
        <w:t>changes as needed.</w:t>
      </w:r>
    </w:p>
    <w:p w14:paraId="08A30863" w14:textId="77777777" w:rsidR="00905F24" w:rsidRPr="00F1496E" w:rsidRDefault="00905F24">
      <w:pPr>
        <w:rPr>
          <w:strike/>
          <w:sz w:val="23"/>
          <w:szCs w:val="23"/>
        </w:rPr>
      </w:pPr>
    </w:p>
    <w:p w14:paraId="718573D6" w14:textId="1E375005" w:rsidR="00CB6927" w:rsidRDefault="00CB6927">
      <w:pPr>
        <w:rPr>
          <w:sz w:val="23"/>
          <w:szCs w:val="23"/>
        </w:rPr>
      </w:pPr>
      <w:r w:rsidRPr="002F0A46">
        <w:rPr>
          <w:sz w:val="23"/>
          <w:szCs w:val="23"/>
        </w:rPr>
        <w:t xml:space="preserve">Adopted as of </w:t>
      </w:r>
      <w:r w:rsidR="00BE19A2">
        <w:rPr>
          <w:sz w:val="23"/>
          <w:szCs w:val="23"/>
        </w:rPr>
        <w:t xml:space="preserve">May 14, </w:t>
      </w:r>
      <w:r w:rsidR="007B012B" w:rsidRPr="002F0A46">
        <w:rPr>
          <w:sz w:val="23"/>
          <w:szCs w:val="23"/>
        </w:rPr>
        <w:t>201</w:t>
      </w:r>
      <w:r w:rsidR="00B62184" w:rsidRPr="002F0A46">
        <w:rPr>
          <w:sz w:val="23"/>
          <w:szCs w:val="23"/>
        </w:rPr>
        <w:t>9</w:t>
      </w:r>
      <w:r w:rsidR="00A262E7">
        <w:rPr>
          <w:sz w:val="23"/>
          <w:szCs w:val="23"/>
        </w:rPr>
        <w:tab/>
        <w:t>Re-adopted March 15, 2023</w:t>
      </w:r>
    </w:p>
    <w:p w14:paraId="6FCABD30" w14:textId="3839DA40" w:rsidR="00700773" w:rsidRDefault="00700773">
      <w:pPr>
        <w:rPr>
          <w:sz w:val="23"/>
          <w:szCs w:val="23"/>
        </w:rPr>
      </w:pPr>
      <w:r>
        <w:rPr>
          <w:sz w:val="23"/>
          <w:szCs w:val="23"/>
        </w:rPr>
        <w:t>Re-adopted June 3, 2020</w:t>
      </w:r>
    </w:p>
    <w:p w14:paraId="24033056" w14:textId="4BAFB78D" w:rsidR="00700773" w:rsidRDefault="00700773">
      <w:pPr>
        <w:rPr>
          <w:sz w:val="23"/>
          <w:szCs w:val="23"/>
        </w:rPr>
      </w:pPr>
      <w:r>
        <w:rPr>
          <w:sz w:val="23"/>
          <w:szCs w:val="23"/>
        </w:rPr>
        <w:t>Re-adopted March 16, 2021</w:t>
      </w:r>
    </w:p>
    <w:p w14:paraId="54EA3FC6" w14:textId="4B059B45" w:rsidR="00A262E7" w:rsidRPr="002F0A46" w:rsidRDefault="00925A96">
      <w:pPr>
        <w:rPr>
          <w:sz w:val="23"/>
          <w:szCs w:val="23"/>
        </w:rPr>
      </w:pPr>
      <w:r>
        <w:rPr>
          <w:sz w:val="23"/>
          <w:szCs w:val="23"/>
        </w:rPr>
        <w:t>Re-adopted March 23, 2022</w:t>
      </w:r>
    </w:p>
    <w:sectPr w:rsidR="00A262E7" w:rsidRPr="002F0A46" w:rsidSect="00905F24">
      <w:headerReference w:type="even" r:id="rId8"/>
      <w:headerReference w:type="default" r:id="rId9"/>
      <w:footerReference w:type="even" r:id="rId10"/>
      <w:footerReference w:type="default" r:id="rId11"/>
      <w:headerReference w:type="first" r:id="rId12"/>
      <w:footerReference w:type="first" r:id="rId13"/>
      <w:pgSz w:w="12240" w:h="15840" w:code="1"/>
      <w:pgMar w:top="450" w:right="1296" w:bottom="720" w:left="1296" w:header="360" w:footer="353" w:gutter="0"/>
      <w:paperSrc w:first="257" w:other="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3F407" w14:textId="77777777" w:rsidR="00E432E4" w:rsidRDefault="00E432E4">
      <w:r>
        <w:separator/>
      </w:r>
    </w:p>
  </w:endnote>
  <w:endnote w:type="continuationSeparator" w:id="0">
    <w:p w14:paraId="1C267E08" w14:textId="77777777" w:rsidR="00E432E4" w:rsidRDefault="00E4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B4F4C" w14:textId="77777777" w:rsidR="00E432E4" w:rsidRDefault="00E432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6E01D6" w14:textId="77777777" w:rsidR="00E432E4" w:rsidRDefault="00E43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B14AC" w14:textId="07029A6C" w:rsidR="00E432E4" w:rsidRPr="005D49BA" w:rsidRDefault="002F0A46" w:rsidP="00905F24">
    <w:pPr>
      <w:pStyle w:val="Footer"/>
      <w:framePr w:h="360" w:hRule="exact" w:wrap="around" w:vAnchor="text" w:hAnchor="page" w:x="488" w:y="634"/>
      <w:tabs>
        <w:tab w:val="clear" w:pos="4320"/>
        <w:tab w:val="center" w:pos="5490"/>
      </w:tabs>
      <w:rPr>
        <w:rStyle w:val="PageNumber"/>
        <w:sz w:val="22"/>
        <w:szCs w:val="22"/>
      </w:rPr>
    </w:pPr>
    <w:r w:rsidRPr="002F0A46">
      <w:rPr>
        <w:rStyle w:val="PageNumber"/>
        <w:noProof/>
        <w:sz w:val="16"/>
        <w:szCs w:val="22"/>
      </w:rPr>
      <w:t>{Clients/1689/00339737.DOCX/ }</w:t>
    </w:r>
    <w:r w:rsidR="00E432E4">
      <w:rPr>
        <w:rStyle w:val="PageNumber"/>
        <w:sz w:val="22"/>
        <w:szCs w:val="22"/>
      </w:rPr>
      <w:tab/>
    </w:r>
    <w:r w:rsidR="00E432E4" w:rsidRPr="005D49BA">
      <w:rPr>
        <w:rStyle w:val="PageNumber"/>
        <w:sz w:val="22"/>
        <w:szCs w:val="22"/>
      </w:rPr>
      <w:fldChar w:fldCharType="begin"/>
    </w:r>
    <w:r w:rsidR="00E432E4" w:rsidRPr="005D49BA">
      <w:rPr>
        <w:rStyle w:val="PageNumber"/>
        <w:sz w:val="22"/>
        <w:szCs w:val="22"/>
      </w:rPr>
      <w:instrText xml:space="preserve">PAGE  </w:instrText>
    </w:r>
    <w:r w:rsidR="00E432E4" w:rsidRPr="005D49BA">
      <w:rPr>
        <w:rStyle w:val="PageNumber"/>
        <w:sz w:val="22"/>
        <w:szCs w:val="22"/>
      </w:rPr>
      <w:fldChar w:fldCharType="separate"/>
    </w:r>
    <w:r w:rsidR="00640033">
      <w:rPr>
        <w:rStyle w:val="PageNumber"/>
        <w:noProof/>
        <w:sz w:val="22"/>
        <w:szCs w:val="22"/>
      </w:rPr>
      <w:t>2</w:t>
    </w:r>
    <w:r w:rsidR="00E432E4" w:rsidRPr="005D49BA">
      <w:rPr>
        <w:rStyle w:val="PageNumber"/>
        <w:sz w:val="22"/>
        <w:szCs w:val="22"/>
      </w:rPr>
      <w:fldChar w:fldCharType="end"/>
    </w:r>
  </w:p>
  <w:p w14:paraId="1E64DEC8" w14:textId="77777777" w:rsidR="00E432E4" w:rsidRPr="00905F24" w:rsidRDefault="00E432E4">
    <w:pPr>
      <w:pStyle w:val="Footer"/>
      <w:ind w:right="360"/>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1DA28" w14:textId="77777777" w:rsidR="00E432E4" w:rsidRPr="005D49BA" w:rsidRDefault="002F0A46" w:rsidP="005D49BA">
    <w:pPr>
      <w:pStyle w:val="Footer"/>
    </w:pPr>
    <w:r w:rsidRPr="002F0A46">
      <w:rPr>
        <w:noProof/>
        <w:sz w:val="16"/>
      </w:rPr>
      <w:t>{Clients/1689/00339737.DOCX/ }</w:t>
    </w:r>
    <w:r w:rsidR="00E432E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9C996" w14:textId="77777777" w:rsidR="00E432E4" w:rsidRDefault="00E432E4">
      <w:pPr>
        <w:rPr>
          <w:noProof/>
        </w:rPr>
      </w:pPr>
      <w:r>
        <w:rPr>
          <w:noProof/>
        </w:rPr>
        <w:separator/>
      </w:r>
    </w:p>
  </w:footnote>
  <w:footnote w:type="continuationSeparator" w:id="0">
    <w:p w14:paraId="041B810B" w14:textId="77777777" w:rsidR="00E432E4" w:rsidRDefault="00E43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B9EA" w14:textId="77777777" w:rsidR="00905F24" w:rsidRDefault="00905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44EC9" w14:textId="77777777" w:rsidR="00905F24" w:rsidRDefault="00905F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7D22" w14:textId="77777777" w:rsidR="00905F24" w:rsidRDefault="00905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4076"/>
    <w:multiLevelType w:val="hybridMultilevel"/>
    <w:tmpl w:val="6304E81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8257EF"/>
    <w:multiLevelType w:val="hybridMultilevel"/>
    <w:tmpl w:val="821E33E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11191D"/>
    <w:multiLevelType w:val="hybridMultilevel"/>
    <w:tmpl w:val="40EAE402"/>
    <w:lvl w:ilvl="0" w:tplc="E0F6FD58">
      <w:start w:val="1"/>
      <w:numFmt w:val="upperLetter"/>
      <w:lvlText w:val="%1."/>
      <w:lvlJc w:val="left"/>
      <w:pPr>
        <w:tabs>
          <w:tab w:val="num" w:pos="1080"/>
        </w:tabs>
        <w:ind w:left="1080" w:hanging="360"/>
      </w:pPr>
      <w:rPr>
        <w:rFonts w:hint="default"/>
      </w:rPr>
    </w:lvl>
    <w:lvl w:ilvl="1" w:tplc="CE3EBF6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3FB2BBE"/>
    <w:multiLevelType w:val="hybridMultilevel"/>
    <w:tmpl w:val="ED14B98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CB7014"/>
    <w:multiLevelType w:val="hybridMultilevel"/>
    <w:tmpl w:val="FC1436FA"/>
    <w:lvl w:ilvl="0" w:tplc="BABAFB52">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87"/>
    <w:rsid w:val="0000012C"/>
    <w:rsid w:val="000475C8"/>
    <w:rsid w:val="000A36C8"/>
    <w:rsid w:val="00110990"/>
    <w:rsid w:val="00125A6D"/>
    <w:rsid w:val="0017429A"/>
    <w:rsid w:val="001C1869"/>
    <w:rsid w:val="00234E96"/>
    <w:rsid w:val="002F0A46"/>
    <w:rsid w:val="003230A2"/>
    <w:rsid w:val="0033011A"/>
    <w:rsid w:val="0034198B"/>
    <w:rsid w:val="00367928"/>
    <w:rsid w:val="00384692"/>
    <w:rsid w:val="003C7EFB"/>
    <w:rsid w:val="00401889"/>
    <w:rsid w:val="00416E51"/>
    <w:rsid w:val="00455AC1"/>
    <w:rsid w:val="004B289B"/>
    <w:rsid w:val="004D1888"/>
    <w:rsid w:val="005066D6"/>
    <w:rsid w:val="005D49BA"/>
    <w:rsid w:val="00605577"/>
    <w:rsid w:val="00640033"/>
    <w:rsid w:val="00644DB3"/>
    <w:rsid w:val="006B2F88"/>
    <w:rsid w:val="00700773"/>
    <w:rsid w:val="00750251"/>
    <w:rsid w:val="007A2B1A"/>
    <w:rsid w:val="007B012B"/>
    <w:rsid w:val="007E3696"/>
    <w:rsid w:val="00813991"/>
    <w:rsid w:val="00813ECC"/>
    <w:rsid w:val="00874C4A"/>
    <w:rsid w:val="00896580"/>
    <w:rsid w:val="008C21F9"/>
    <w:rsid w:val="00905F24"/>
    <w:rsid w:val="00925A96"/>
    <w:rsid w:val="00972D1D"/>
    <w:rsid w:val="00994403"/>
    <w:rsid w:val="009A7E87"/>
    <w:rsid w:val="009C45FE"/>
    <w:rsid w:val="009D0A87"/>
    <w:rsid w:val="009F1116"/>
    <w:rsid w:val="00A20C29"/>
    <w:rsid w:val="00A262E7"/>
    <w:rsid w:val="00AA10ED"/>
    <w:rsid w:val="00AE207A"/>
    <w:rsid w:val="00AF51E8"/>
    <w:rsid w:val="00B04F66"/>
    <w:rsid w:val="00B231A9"/>
    <w:rsid w:val="00B30D81"/>
    <w:rsid w:val="00B41C9E"/>
    <w:rsid w:val="00B46F00"/>
    <w:rsid w:val="00B62184"/>
    <w:rsid w:val="00BE19A2"/>
    <w:rsid w:val="00BE2B62"/>
    <w:rsid w:val="00C27F2A"/>
    <w:rsid w:val="00C8757B"/>
    <w:rsid w:val="00C917BF"/>
    <w:rsid w:val="00CB6927"/>
    <w:rsid w:val="00D31109"/>
    <w:rsid w:val="00E432E4"/>
    <w:rsid w:val="00E853F4"/>
    <w:rsid w:val="00F1496E"/>
    <w:rsid w:val="00FC7AEF"/>
    <w:rsid w:val="00FD26F2"/>
    <w:rsid w:val="00FE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7D775"/>
  <w15:docId w15:val="{3D25B032-B3B4-4AB8-B127-4F1EAE65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C595E-D409-47CA-AB49-F54940D0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4720</Characters>
  <Application>Microsoft Office Word</Application>
  <DocSecurity>4</DocSecurity>
  <PresentationFormat>12|.DOCX</PresentationFormat>
  <Lines>39</Lines>
  <Paragraphs>11</Paragraphs>
  <ScaleCrop>false</ScaleCrop>
  <HeadingPairs>
    <vt:vector size="2" baseType="variant">
      <vt:variant>
        <vt:lpstr>Title</vt:lpstr>
      </vt:variant>
      <vt:variant>
        <vt:i4>1</vt:i4>
      </vt:variant>
    </vt:vector>
  </HeadingPairs>
  <TitlesOfParts>
    <vt:vector size="1" baseType="lpstr">
      <vt:lpstr>Compensation Committee Charter  (00339737.DOCX;1)</vt:lpstr>
    </vt:vector>
  </TitlesOfParts>
  <Company>First Federal Bank</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Committee Charter  (00339737.DOCX;1)</dc:title>
  <dc:subject>Clients/1689/00339737.DOCX/ /font=8</dc:subject>
  <dc:creator>Cherie Hogan</dc:creator>
  <cp:keywords/>
  <dc:description/>
  <cp:lastModifiedBy>Lisa Hope</cp:lastModifiedBy>
  <cp:revision>2</cp:revision>
  <cp:lastPrinted>2015-05-18T22:17:00Z</cp:lastPrinted>
  <dcterms:created xsi:type="dcterms:W3CDTF">2024-01-22T21:51:00Z</dcterms:created>
  <dcterms:modified xsi:type="dcterms:W3CDTF">2024-01-22T21:51:00Z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Policy</vt:lpwstr>
  </property>
</Properties>
</file>